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505050"/>
          <w:sz w:val="21"/>
          <w:szCs w:val="21"/>
          <w:highlight w:val="white"/>
          <w:rtl w:val="0"/>
        </w:rPr>
        <w:t xml:space="preserve">Sample Student Survey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This QW lesson started with an issue presented in a story. Was the story interesting?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Yes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No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Was the story relevant to your career goals?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Yes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No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Math Question Lesson 4.7: In question 8, how easy was it to predict the rise in sea level for year 2012 using an exponential model?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Very easy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Easy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Somewhat easy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A little easy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Not easy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Which of the following describes your class participation today?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I participated in whole class discussion about the mathematics lesson today.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I talked with others about the mathematics lesson during our small group discussion today.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I participated in small and whole class discussion today.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I did not participate in class discussion today.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How useful in your understanding of the mathematics today was the video?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Very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Somewhat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A little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Not useful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How useful, in helping you understand today's mathematics lesson, was your small group discussion?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Very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Somewhat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A little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Not useful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How useful, in helping you understand today's mathematics lesson, was the whole class discussion?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Very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Somewhat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A little useful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500" w:before="180" w:line="312" w:lineRule="auto"/>
        <w:ind w:left="144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777777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Not useful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500" w:before="180" w:lineRule="auto"/>
        <w:ind w:left="720" w:hanging="360"/>
        <w:contextualSpacing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505050"/>
          <w:sz w:val="21"/>
          <w:szCs w:val="21"/>
          <w:highlight w:val="white"/>
          <w:rtl w:val="0"/>
        </w:rPr>
        <w:t xml:space="preserve">How could we improve this lesson? We love suggestions!</w:t>
      </w:r>
    </w:p>
    <w:tbl>
      <w:tblPr>
        <w:tblStyle w:val="Table1"/>
        <w:bidiVisual w:val="0"/>
        <w:tblW w:w="53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90"/>
        <w:tblGridChange w:id="0">
          <w:tblGrid>
            <w:gridCol w:w="5390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80" w:before="18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"/>
      <w:lvlJc w:val="left"/>
      <w:pPr>
        <w:ind w:left="720" w:firstLine="360"/>
      </w:pPr>
      <w:rPr>
        <w:rFonts w:ascii="Roboto" w:cs="Roboto" w:eastAsia="Roboto" w:hAnsi="Roboto"/>
        <w:color w:val="777777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Roboto" w:cs="Roboto" w:eastAsia="Roboto" w:hAnsi="Roboto"/>
        <w:color w:val="777777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